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3CD3" w:rsidRDefault="00D03CD3">
      <w:pPr>
        <w:spacing w:line="220" w:lineRule="exact"/>
        <w:ind w:right="57"/>
        <w:rPr>
          <w:rFonts w:ascii="Arial" w:hAnsi="Arial" w:cs="Arial"/>
          <w:color w:val="000000" w:themeColor="text1"/>
          <w:sz w:val="22"/>
          <w:szCs w:val="22"/>
        </w:rPr>
      </w:pPr>
    </w:p>
    <w:p w:rsidR="005C5BE8" w:rsidRDefault="005C5BE8">
      <w:pPr>
        <w:spacing w:line="280" w:lineRule="exact"/>
        <w:ind w:right="57"/>
        <w:rPr>
          <w:rFonts w:ascii="Arial" w:hAnsi="Arial" w:cs="Arial"/>
          <w:color w:val="000000" w:themeColor="text1"/>
          <w:sz w:val="22"/>
          <w:szCs w:val="22"/>
        </w:rPr>
      </w:pPr>
    </w:p>
    <w:p w:rsidR="005C5BE8" w:rsidRDefault="00EB0C28">
      <w:pPr>
        <w:spacing w:after="120" w:line="312" w:lineRule="auto"/>
        <w:ind w:right="57"/>
      </w:pPr>
      <w:proofErr w:type="spellStart"/>
      <w:r>
        <w:rPr>
          <w:rFonts w:ascii="Arial" w:hAnsi="Arial" w:cs="Arial"/>
          <w:b/>
          <w:color w:val="000000" w:themeColor="text1"/>
          <w:szCs w:val="24"/>
        </w:rPr>
        <w:t>dTest</w:t>
      </w:r>
      <w:proofErr w:type="spellEnd"/>
      <w:r>
        <w:rPr>
          <w:rFonts w:ascii="Arial" w:hAnsi="Arial" w:cs="Arial"/>
          <w:b/>
          <w:color w:val="000000" w:themeColor="text1"/>
          <w:szCs w:val="24"/>
        </w:rPr>
        <w:t xml:space="preserve">: </w:t>
      </w:r>
      <w:r w:rsidR="0076211C">
        <w:rPr>
          <w:rFonts w:ascii="Arial" w:hAnsi="Arial" w:cs="Arial"/>
          <w:b/>
          <w:color w:val="000000" w:themeColor="text1"/>
          <w:szCs w:val="24"/>
        </w:rPr>
        <w:t>Spotřebitelé už zase mohou měnit dodavatele energií</w:t>
      </w:r>
    </w:p>
    <w:p w:rsidR="005C5BE8" w:rsidRDefault="0076211C" w:rsidP="00011D29">
      <w:pPr>
        <w:spacing w:after="120" w:line="312" w:lineRule="auto"/>
        <w:ind w:right="57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S uklidněním situace na velkoobchodním trhu s energiem</w:t>
      </w:r>
      <w:r w:rsidR="00011D29">
        <w:rPr>
          <w:rFonts w:ascii="Arial" w:hAnsi="Arial" w:cs="Arial"/>
          <w:i/>
          <w:iCs/>
          <w:color w:val="000000" w:themeColor="text1"/>
          <w:sz w:val="22"/>
          <w:szCs w:val="22"/>
        </w:rPr>
        <w:t>i přichází dodavatelé energií i 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 novými ceníky pro dodávky plynu a elektřiny koncovým zákazníkům. Mezi jednotlivými dodavateli tak zase začíná fungovat konkurence a spotřebitelé si mohou mezi jednotlivými dodavateli vybrat. </w:t>
      </w:r>
      <w:r w:rsidR="00FD49E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Zprostředkovatelé toho využívají a přichází za spotřebiteli s novými nabídkami smluv na dodávky elektřiny a plynu. dTest upozorňuje na práva spotřebitelů v situacích spojených </w:t>
      </w:r>
      <w:r w:rsidR="003C6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 účastí zprostředkovatele při </w:t>
      </w:r>
      <w:r w:rsidR="00FD49EF">
        <w:rPr>
          <w:rFonts w:ascii="Arial" w:hAnsi="Arial" w:cs="Arial"/>
          <w:i/>
          <w:iCs/>
          <w:color w:val="000000" w:themeColor="text1"/>
          <w:sz w:val="22"/>
          <w:szCs w:val="22"/>
        </w:rPr>
        <w:t>změn</w:t>
      </w:r>
      <w:r w:rsidR="003C600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ě </w:t>
      </w:r>
      <w:r w:rsidR="00FD49EF">
        <w:rPr>
          <w:rFonts w:ascii="Arial" w:hAnsi="Arial" w:cs="Arial"/>
          <w:i/>
          <w:iCs/>
          <w:color w:val="000000" w:themeColor="text1"/>
          <w:sz w:val="22"/>
          <w:szCs w:val="22"/>
        </w:rPr>
        <w:t>dodavatele energií</w:t>
      </w:r>
      <w:r w:rsidR="00EB0C2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:rsidR="00CF0DFB" w:rsidRDefault="001C5B34" w:rsidP="00011D29">
      <w:pPr>
        <w:spacing w:after="120" w:line="312" w:lineRule="auto"/>
        <w:ind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501FA" w:rsidRPr="00C501FA">
        <w:rPr>
          <w:rFonts w:ascii="Arial" w:hAnsi="Arial" w:cs="Arial"/>
          <w:sz w:val="22"/>
          <w:szCs w:val="22"/>
        </w:rPr>
        <w:t>eny plynu i elektřiny</w:t>
      </w:r>
      <w:r>
        <w:rPr>
          <w:rFonts w:ascii="Arial" w:hAnsi="Arial" w:cs="Arial"/>
          <w:sz w:val="22"/>
          <w:szCs w:val="22"/>
        </w:rPr>
        <w:t xml:space="preserve"> se pomalu </w:t>
      </w:r>
      <w:r w:rsidR="00C501FA" w:rsidRPr="00C501FA">
        <w:rPr>
          <w:rFonts w:ascii="Arial" w:hAnsi="Arial" w:cs="Arial"/>
          <w:sz w:val="22"/>
          <w:szCs w:val="22"/>
        </w:rPr>
        <w:t>začínají dostávat pod cenový strop</w:t>
      </w:r>
      <w:r>
        <w:rPr>
          <w:rFonts w:ascii="Arial" w:hAnsi="Arial" w:cs="Arial"/>
          <w:sz w:val="22"/>
          <w:szCs w:val="22"/>
        </w:rPr>
        <w:t xml:space="preserve">. Nejsou to zatím velké slevy a dosažení takové ceny obvykle předpokládá uzavření smlouvy na dobu určitou, přesto však už spotřebitelé </w:t>
      </w:r>
      <w:r w:rsidR="00CF0DFB">
        <w:rPr>
          <w:rFonts w:ascii="Arial" w:hAnsi="Arial" w:cs="Arial"/>
          <w:sz w:val="22"/>
          <w:szCs w:val="22"/>
        </w:rPr>
        <w:t xml:space="preserve">zase </w:t>
      </w:r>
      <w:r>
        <w:rPr>
          <w:rFonts w:ascii="Arial" w:hAnsi="Arial" w:cs="Arial"/>
          <w:sz w:val="22"/>
          <w:szCs w:val="22"/>
        </w:rPr>
        <w:t xml:space="preserve">mohou zvažovat, jak na dodávkách energií ušetří. „Existence různých nabídek na dodávky plynu a elektřiny </w:t>
      </w:r>
      <w:r w:rsidR="00CF0DFB">
        <w:rPr>
          <w:rFonts w:ascii="Arial" w:hAnsi="Arial" w:cs="Arial"/>
          <w:sz w:val="22"/>
          <w:szCs w:val="22"/>
        </w:rPr>
        <w:t>znamená, že za spotřebiteli začnou chodit zprostředkovatelé s nabídkami přechodu od jednoho dodavatele k</w:t>
      </w:r>
      <w:r w:rsidR="00011D29">
        <w:rPr>
          <w:rFonts w:ascii="Arial" w:hAnsi="Arial" w:cs="Arial"/>
          <w:sz w:val="22"/>
          <w:szCs w:val="22"/>
        </w:rPr>
        <w:t> </w:t>
      </w:r>
      <w:r w:rsidR="00CF0DFB">
        <w:rPr>
          <w:rFonts w:ascii="Arial" w:hAnsi="Arial" w:cs="Arial"/>
          <w:sz w:val="22"/>
          <w:szCs w:val="22"/>
        </w:rPr>
        <w:t>jinému</w:t>
      </w:r>
      <w:r w:rsidR="00011D29">
        <w:rPr>
          <w:rFonts w:ascii="Arial" w:hAnsi="Arial" w:cs="Arial"/>
          <w:sz w:val="22"/>
          <w:szCs w:val="22"/>
        </w:rPr>
        <w:t>,“</w:t>
      </w:r>
      <w:r w:rsidR="00CF0DFB">
        <w:rPr>
          <w:rFonts w:ascii="Arial" w:hAnsi="Arial" w:cs="Arial"/>
          <w:sz w:val="22"/>
          <w:szCs w:val="22"/>
        </w:rPr>
        <w:t xml:space="preserve"> upozorňuje Eduarda </w:t>
      </w:r>
      <w:proofErr w:type="spellStart"/>
      <w:r w:rsidR="00CF0DFB">
        <w:rPr>
          <w:rFonts w:ascii="Arial" w:hAnsi="Arial" w:cs="Arial"/>
          <w:sz w:val="22"/>
          <w:szCs w:val="22"/>
        </w:rPr>
        <w:t>Hekšová</w:t>
      </w:r>
      <w:proofErr w:type="spellEnd"/>
      <w:r w:rsidR="00CF0DFB">
        <w:rPr>
          <w:rFonts w:ascii="Arial" w:hAnsi="Arial" w:cs="Arial"/>
          <w:sz w:val="22"/>
          <w:szCs w:val="22"/>
        </w:rPr>
        <w:t>, ředitelka spotřebitelské organizace dTest, a dodává: „Spotřebitelé by měli vědět, jaká vůči těmto zprostředkovatelům smluv na dodávku plynu a elektřiny</w:t>
      </w:r>
      <w:r w:rsidR="00D81478" w:rsidRPr="00D81478">
        <w:rPr>
          <w:rFonts w:ascii="Arial" w:hAnsi="Arial" w:cs="Arial"/>
          <w:sz w:val="22"/>
          <w:szCs w:val="22"/>
        </w:rPr>
        <w:t xml:space="preserve"> </w:t>
      </w:r>
      <w:r w:rsidR="00D81478">
        <w:rPr>
          <w:rFonts w:ascii="Arial" w:hAnsi="Arial" w:cs="Arial"/>
          <w:sz w:val="22"/>
          <w:szCs w:val="22"/>
        </w:rPr>
        <w:t>mají práva</w:t>
      </w:r>
      <w:r w:rsidR="00011D29">
        <w:rPr>
          <w:rFonts w:ascii="Arial" w:hAnsi="Arial" w:cs="Arial"/>
          <w:sz w:val="22"/>
          <w:szCs w:val="22"/>
        </w:rPr>
        <w:t>.“</w:t>
      </w:r>
    </w:p>
    <w:p w:rsidR="00F505E0" w:rsidRPr="00F505E0" w:rsidRDefault="00D81478" w:rsidP="00011D29">
      <w:pPr>
        <w:spacing w:after="120" w:line="312" w:lineRule="auto"/>
        <w:ind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Novelou energetického zákona částečně účinnou od 1. 1.</w:t>
      </w:r>
      <w:r w:rsidR="00011D29">
        <w:rPr>
          <w:rFonts w:ascii="Arial" w:hAnsi="Arial" w:cs="Arial"/>
          <w:sz w:val="22"/>
          <w:szCs w:val="22"/>
        </w:rPr>
        <w:t xml:space="preserve"> 2022 a v další části pak od 1. </w:t>
      </w:r>
      <w:r>
        <w:rPr>
          <w:rFonts w:ascii="Arial" w:hAnsi="Arial" w:cs="Arial"/>
          <w:sz w:val="22"/>
          <w:szCs w:val="22"/>
        </w:rPr>
        <w:t xml:space="preserve">7. 2022 je činnost zprostředkovatelů činných v energetických </w:t>
      </w:r>
      <w:r w:rsidR="00F505E0">
        <w:rPr>
          <w:rFonts w:ascii="Arial" w:hAnsi="Arial" w:cs="Arial"/>
          <w:sz w:val="22"/>
          <w:szCs w:val="22"/>
        </w:rPr>
        <w:t>odvětvích regulována zákonem a zprostředkovatelé ke své činnosti potřebují oprávnění Energetického regulačního úřadu. „K dnešnímu dni je v registru zprostředkovatelů ERÚ uvedeno 622 osob, fyzických i právnických</w:t>
      </w:r>
      <w:r w:rsidR="00011D29">
        <w:rPr>
          <w:rFonts w:ascii="Arial" w:hAnsi="Arial" w:cs="Arial"/>
          <w:sz w:val="22"/>
          <w:szCs w:val="22"/>
        </w:rPr>
        <w:t>,“</w:t>
      </w:r>
      <w:r w:rsidR="00F505E0">
        <w:rPr>
          <w:rFonts w:ascii="Arial" w:hAnsi="Arial" w:cs="Arial"/>
          <w:sz w:val="22"/>
          <w:szCs w:val="22"/>
        </w:rPr>
        <w:t xml:space="preserve"> konstatuje Eduarda </w:t>
      </w:r>
      <w:proofErr w:type="spellStart"/>
      <w:r w:rsidR="00F505E0">
        <w:rPr>
          <w:rFonts w:ascii="Arial" w:hAnsi="Arial" w:cs="Arial"/>
          <w:sz w:val="22"/>
          <w:szCs w:val="22"/>
        </w:rPr>
        <w:t>Hekšová</w:t>
      </w:r>
      <w:proofErr w:type="spellEnd"/>
      <w:r w:rsidR="00F505E0">
        <w:rPr>
          <w:rFonts w:ascii="Arial" w:hAnsi="Arial" w:cs="Arial"/>
          <w:sz w:val="22"/>
          <w:szCs w:val="22"/>
        </w:rPr>
        <w:t xml:space="preserve"> a </w:t>
      </w:r>
      <w:r w:rsidR="00AA41AD">
        <w:rPr>
          <w:rFonts w:ascii="Arial" w:hAnsi="Arial" w:cs="Arial"/>
          <w:sz w:val="22"/>
          <w:szCs w:val="22"/>
        </w:rPr>
        <w:t xml:space="preserve">dále </w:t>
      </w:r>
      <w:r w:rsidR="00F505E0">
        <w:rPr>
          <w:rFonts w:ascii="Arial" w:hAnsi="Arial" w:cs="Arial"/>
          <w:sz w:val="22"/>
          <w:szCs w:val="22"/>
        </w:rPr>
        <w:t xml:space="preserve">vysvětluje: „Každý zprostředkovatel je již od prvního kontaktu se spotřebitelem povinen </w:t>
      </w:r>
      <w:r w:rsidR="00AA41AD">
        <w:rPr>
          <w:rFonts w:ascii="Arial" w:hAnsi="Arial" w:cs="Arial"/>
          <w:sz w:val="22"/>
          <w:szCs w:val="22"/>
        </w:rPr>
        <w:t xml:space="preserve">ho </w:t>
      </w:r>
      <w:r w:rsidR="00011D29">
        <w:rPr>
          <w:rFonts w:ascii="Arial" w:hAnsi="Arial" w:cs="Arial"/>
          <w:sz w:val="22"/>
          <w:szCs w:val="22"/>
        </w:rPr>
        <w:t>informovat o </w:t>
      </w:r>
      <w:r w:rsidR="00F505E0" w:rsidRPr="00F505E0">
        <w:rPr>
          <w:rFonts w:ascii="Arial" w:hAnsi="Arial" w:cs="Arial"/>
          <w:sz w:val="22"/>
          <w:szCs w:val="22"/>
        </w:rPr>
        <w:t xml:space="preserve">skutečnosti, že s ním jedná jako zprostředkovatel, zejména prokázat se osvědčením </w:t>
      </w:r>
      <w:r w:rsidR="00F505E0">
        <w:rPr>
          <w:rFonts w:ascii="Arial" w:hAnsi="Arial" w:cs="Arial"/>
          <w:sz w:val="22"/>
          <w:szCs w:val="22"/>
        </w:rPr>
        <w:t xml:space="preserve">ERÚ </w:t>
      </w:r>
      <w:r w:rsidR="00F505E0" w:rsidRPr="00F505E0">
        <w:rPr>
          <w:rFonts w:ascii="Arial" w:hAnsi="Arial" w:cs="Arial"/>
          <w:sz w:val="22"/>
          <w:szCs w:val="22"/>
        </w:rPr>
        <w:t>a sdělit mu svou totožnost, adresu sídla, identifikační číslo</w:t>
      </w:r>
      <w:r w:rsidR="00AA41AD">
        <w:rPr>
          <w:rFonts w:ascii="Arial" w:hAnsi="Arial" w:cs="Arial"/>
          <w:sz w:val="22"/>
          <w:szCs w:val="22"/>
        </w:rPr>
        <w:t xml:space="preserve"> </w:t>
      </w:r>
      <w:r w:rsidR="00F505E0" w:rsidRPr="00F505E0">
        <w:rPr>
          <w:rFonts w:ascii="Arial" w:hAnsi="Arial" w:cs="Arial"/>
          <w:sz w:val="22"/>
          <w:szCs w:val="22"/>
        </w:rPr>
        <w:t>a registrační číslo</w:t>
      </w:r>
      <w:r w:rsidR="00F505E0">
        <w:rPr>
          <w:rFonts w:ascii="Arial" w:hAnsi="Arial" w:cs="Arial"/>
          <w:sz w:val="22"/>
          <w:szCs w:val="22"/>
        </w:rPr>
        <w:t xml:space="preserve">.“ Pokud by se k tomu zprostředkovatel neměl, neměl by s ním spotřebitel vůbec jednat, je pravděpodobné, že </w:t>
      </w:r>
      <w:r w:rsidR="00E10EEA">
        <w:rPr>
          <w:rFonts w:ascii="Arial" w:hAnsi="Arial" w:cs="Arial"/>
          <w:sz w:val="22"/>
          <w:szCs w:val="22"/>
        </w:rPr>
        <w:t>nejde o registrovaného zprostředkovatele, ale o</w:t>
      </w:r>
      <w:r w:rsidR="00F505E0">
        <w:rPr>
          <w:rFonts w:ascii="Arial" w:hAnsi="Arial" w:cs="Arial"/>
          <w:sz w:val="22"/>
          <w:szCs w:val="22"/>
        </w:rPr>
        <w:t xml:space="preserve"> podvodníka.</w:t>
      </w:r>
    </w:p>
    <w:p w:rsidR="00E10EEA" w:rsidRDefault="00E10EEA" w:rsidP="00011D29">
      <w:pPr>
        <w:spacing w:after="120" w:line="312" w:lineRule="auto"/>
        <w:ind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Registrovaný zprostředkovatel je povinen </w:t>
      </w:r>
      <w:r w:rsidR="00F505E0" w:rsidRPr="00F505E0">
        <w:rPr>
          <w:rFonts w:ascii="Arial" w:hAnsi="Arial" w:cs="Arial"/>
          <w:sz w:val="22"/>
          <w:szCs w:val="22"/>
        </w:rPr>
        <w:t>provozovat svou činnost poctivě a s odbornou péčí</w:t>
      </w:r>
      <w:r>
        <w:rPr>
          <w:rFonts w:ascii="Arial" w:hAnsi="Arial" w:cs="Arial"/>
          <w:sz w:val="22"/>
          <w:szCs w:val="22"/>
        </w:rPr>
        <w:t xml:space="preserve">. „Málo se ví, že zprostředkovatel registrovaný u ERÚ musí </w:t>
      </w:r>
      <w:r w:rsidR="00F505E0" w:rsidRPr="00F505E0">
        <w:rPr>
          <w:rFonts w:ascii="Arial" w:hAnsi="Arial" w:cs="Arial"/>
          <w:sz w:val="22"/>
          <w:szCs w:val="22"/>
        </w:rPr>
        <w:t xml:space="preserve">zohledňovat při své činnosti účinně práva a oprávněné zájmy </w:t>
      </w:r>
      <w:r w:rsidRPr="00F505E0">
        <w:rPr>
          <w:rFonts w:ascii="Arial" w:hAnsi="Arial" w:cs="Arial"/>
          <w:sz w:val="22"/>
          <w:szCs w:val="22"/>
        </w:rPr>
        <w:t>spotřebitele,</w:t>
      </w:r>
      <w:r w:rsidR="00F505E0" w:rsidRPr="00F505E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dokonce jim </w:t>
      </w:r>
      <w:r w:rsidR="00F505E0" w:rsidRPr="00F505E0">
        <w:rPr>
          <w:rFonts w:ascii="Arial" w:hAnsi="Arial" w:cs="Arial"/>
          <w:sz w:val="22"/>
          <w:szCs w:val="22"/>
        </w:rPr>
        <w:t>dávat přednost před zájmy vlastními</w:t>
      </w:r>
      <w:r w:rsidR="00011D29">
        <w:rPr>
          <w:rFonts w:ascii="Arial" w:hAnsi="Arial" w:cs="Arial"/>
          <w:sz w:val="22"/>
          <w:szCs w:val="22"/>
        </w:rPr>
        <w:t>,“</w:t>
      </w:r>
      <w:r>
        <w:rPr>
          <w:rFonts w:ascii="Arial" w:hAnsi="Arial" w:cs="Arial"/>
          <w:sz w:val="22"/>
          <w:szCs w:val="22"/>
        </w:rPr>
        <w:t xml:space="preserve"> podtrhuje zásadní povinnosti zprostředkovatelů Eduarda Hekšová. Vůle spotřebitele je pro zprostředkovatele zákon. Zprostředkovatel je povinen spotřebitele </w:t>
      </w:r>
      <w:r w:rsidR="00F505E0" w:rsidRPr="00F505E0">
        <w:rPr>
          <w:rFonts w:ascii="Arial" w:hAnsi="Arial" w:cs="Arial"/>
          <w:sz w:val="22"/>
          <w:szCs w:val="22"/>
        </w:rPr>
        <w:t xml:space="preserve">pravdivě informovat o všech podstatných skutečnostech </w:t>
      </w:r>
      <w:r>
        <w:rPr>
          <w:rFonts w:ascii="Arial" w:hAnsi="Arial" w:cs="Arial"/>
          <w:sz w:val="22"/>
          <w:szCs w:val="22"/>
        </w:rPr>
        <w:t xml:space="preserve">nabízených dodávek, </w:t>
      </w:r>
      <w:r w:rsidR="00F505E0" w:rsidRPr="00F505E0">
        <w:rPr>
          <w:rFonts w:ascii="Arial" w:hAnsi="Arial" w:cs="Arial"/>
          <w:sz w:val="22"/>
          <w:szCs w:val="22"/>
        </w:rPr>
        <w:t xml:space="preserve">včetně </w:t>
      </w:r>
      <w:r>
        <w:rPr>
          <w:rFonts w:ascii="Arial" w:hAnsi="Arial" w:cs="Arial"/>
          <w:sz w:val="22"/>
          <w:szCs w:val="22"/>
        </w:rPr>
        <w:t xml:space="preserve">případných </w:t>
      </w:r>
      <w:r w:rsidR="00795FC2">
        <w:rPr>
          <w:rFonts w:ascii="Arial" w:hAnsi="Arial" w:cs="Arial"/>
          <w:sz w:val="22"/>
          <w:szCs w:val="22"/>
        </w:rPr>
        <w:t>hrozících škod.</w:t>
      </w:r>
    </w:p>
    <w:p w:rsidR="003F663E" w:rsidRDefault="00C501FA" w:rsidP="00011D29">
      <w:pPr>
        <w:spacing w:after="120" w:line="312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C501FA">
        <w:rPr>
          <w:rFonts w:ascii="Arial" w:hAnsi="Arial" w:cs="Arial"/>
          <w:sz w:val="22"/>
          <w:szCs w:val="22"/>
        </w:rPr>
        <w:t>Z</w:t>
      </w:r>
      <w:r w:rsidR="00E10EEA">
        <w:rPr>
          <w:rFonts w:ascii="Arial" w:hAnsi="Arial" w:cs="Arial"/>
          <w:sz w:val="22"/>
          <w:szCs w:val="22"/>
        </w:rPr>
        <w:t>mění-li si spotřebitel smlouvu na přepážce dodavatele, od dodávky už obvykle nebude moci couvnou</w:t>
      </w:r>
      <w:r w:rsidR="00AA532C">
        <w:rPr>
          <w:rFonts w:ascii="Arial" w:hAnsi="Arial" w:cs="Arial"/>
          <w:sz w:val="22"/>
          <w:szCs w:val="22"/>
        </w:rPr>
        <w:t>t</w:t>
      </w:r>
      <w:r w:rsidR="00E10EEA">
        <w:rPr>
          <w:rFonts w:ascii="Arial" w:hAnsi="Arial" w:cs="Arial"/>
          <w:sz w:val="22"/>
          <w:szCs w:val="22"/>
        </w:rPr>
        <w:t xml:space="preserve">. </w:t>
      </w:r>
      <w:r w:rsidR="00AA41AD">
        <w:rPr>
          <w:rFonts w:ascii="Arial" w:hAnsi="Arial" w:cs="Arial"/>
          <w:sz w:val="22"/>
          <w:szCs w:val="22"/>
        </w:rPr>
        <w:t>Taková nová s</w:t>
      </w:r>
      <w:r w:rsidR="00E10EEA">
        <w:rPr>
          <w:rFonts w:ascii="Arial" w:hAnsi="Arial" w:cs="Arial"/>
          <w:sz w:val="22"/>
          <w:szCs w:val="22"/>
        </w:rPr>
        <w:t xml:space="preserve">mlouva bude pevným </w:t>
      </w:r>
      <w:r w:rsidRPr="00C501FA">
        <w:rPr>
          <w:rFonts w:ascii="Arial" w:hAnsi="Arial" w:cs="Arial"/>
          <w:sz w:val="22"/>
          <w:szCs w:val="22"/>
        </w:rPr>
        <w:t>závaz</w:t>
      </w:r>
      <w:r w:rsidR="00E10EEA">
        <w:rPr>
          <w:rFonts w:ascii="Arial" w:hAnsi="Arial" w:cs="Arial"/>
          <w:sz w:val="22"/>
          <w:szCs w:val="22"/>
        </w:rPr>
        <w:t>kem</w:t>
      </w:r>
      <w:r w:rsidRPr="00C501FA">
        <w:rPr>
          <w:rFonts w:ascii="Arial" w:hAnsi="Arial" w:cs="Arial"/>
          <w:sz w:val="22"/>
          <w:szCs w:val="22"/>
        </w:rPr>
        <w:t xml:space="preserve"> pro zákazníka i </w:t>
      </w:r>
      <w:r w:rsidR="00AA41AD">
        <w:rPr>
          <w:rFonts w:ascii="Arial" w:hAnsi="Arial" w:cs="Arial"/>
          <w:sz w:val="22"/>
          <w:szCs w:val="22"/>
        </w:rPr>
        <w:t xml:space="preserve">pro </w:t>
      </w:r>
      <w:r w:rsidRPr="00C501FA">
        <w:rPr>
          <w:rFonts w:ascii="Arial" w:hAnsi="Arial" w:cs="Arial"/>
          <w:sz w:val="22"/>
          <w:szCs w:val="22"/>
        </w:rPr>
        <w:t>dodavatele</w:t>
      </w:r>
      <w:r w:rsidR="00AA41AD">
        <w:rPr>
          <w:rFonts w:ascii="Arial" w:hAnsi="Arial" w:cs="Arial"/>
          <w:sz w:val="22"/>
          <w:szCs w:val="22"/>
        </w:rPr>
        <w:t xml:space="preserve"> a ukončit ji půjde pouze způsobem ve smlouvě nebo v zákoně uvedeném</w:t>
      </w:r>
      <w:r w:rsidRPr="00C501FA">
        <w:rPr>
          <w:rFonts w:ascii="Arial" w:hAnsi="Arial" w:cs="Arial"/>
          <w:sz w:val="22"/>
          <w:szCs w:val="22"/>
        </w:rPr>
        <w:t xml:space="preserve">. </w:t>
      </w:r>
      <w:r w:rsidR="00AA41AD">
        <w:rPr>
          <w:rFonts w:ascii="Arial" w:hAnsi="Arial" w:cs="Arial"/>
          <w:sz w:val="22"/>
          <w:szCs w:val="22"/>
        </w:rPr>
        <w:t>V</w:t>
      </w:r>
      <w:r w:rsidR="00E10EEA">
        <w:rPr>
          <w:rFonts w:ascii="Arial" w:hAnsi="Arial" w:cs="Arial"/>
          <w:sz w:val="22"/>
          <w:szCs w:val="22"/>
        </w:rPr>
        <w:t xml:space="preserve"> případě, </w:t>
      </w:r>
      <w:r w:rsidR="00E7697B">
        <w:rPr>
          <w:rFonts w:ascii="Arial" w:hAnsi="Arial" w:cs="Arial"/>
          <w:sz w:val="22"/>
          <w:szCs w:val="22"/>
        </w:rPr>
        <w:t xml:space="preserve">že spotřebitel </w:t>
      </w:r>
      <w:r w:rsidR="00AA532C" w:rsidRPr="00C501FA">
        <w:rPr>
          <w:rFonts w:ascii="Arial" w:hAnsi="Arial" w:cs="Arial"/>
          <w:sz w:val="22"/>
          <w:szCs w:val="22"/>
        </w:rPr>
        <w:t>při změně dodavatele uzavře</w:t>
      </w:r>
      <w:r w:rsidR="00E7697B">
        <w:rPr>
          <w:rFonts w:ascii="Arial" w:hAnsi="Arial" w:cs="Arial"/>
          <w:sz w:val="22"/>
          <w:szCs w:val="22"/>
        </w:rPr>
        <w:t xml:space="preserve"> novou smlouvu</w:t>
      </w:r>
      <w:r w:rsidR="00AA532C" w:rsidRPr="00C501FA">
        <w:rPr>
          <w:rFonts w:ascii="Arial" w:hAnsi="Arial" w:cs="Arial"/>
          <w:sz w:val="22"/>
          <w:szCs w:val="22"/>
        </w:rPr>
        <w:t xml:space="preserve"> distančním způsobem nebo mimo obchodní prostory, </w:t>
      </w:r>
      <w:r w:rsidR="00E7697B">
        <w:rPr>
          <w:rFonts w:ascii="Arial" w:hAnsi="Arial" w:cs="Arial"/>
          <w:sz w:val="22"/>
          <w:szCs w:val="22"/>
        </w:rPr>
        <w:t xml:space="preserve">má právo </w:t>
      </w:r>
      <w:r w:rsidR="00AA41AD">
        <w:rPr>
          <w:rFonts w:ascii="Arial" w:hAnsi="Arial" w:cs="Arial"/>
          <w:sz w:val="22"/>
          <w:szCs w:val="22"/>
        </w:rPr>
        <w:t xml:space="preserve">od takové smlouvy odstoupit podle obecných pravidel ve lhůtě 14 dnů od uzavření smlouvy.  </w:t>
      </w:r>
      <w:r w:rsidR="003F663E">
        <w:rPr>
          <w:rFonts w:ascii="Arial" w:hAnsi="Arial" w:cs="Arial"/>
          <w:sz w:val="22"/>
          <w:szCs w:val="22"/>
        </w:rPr>
        <w:t>„</w:t>
      </w:r>
      <w:r w:rsidR="00AD66FB">
        <w:rPr>
          <w:rFonts w:ascii="Arial" w:hAnsi="Arial" w:cs="Arial"/>
          <w:sz w:val="22"/>
          <w:szCs w:val="22"/>
        </w:rPr>
        <w:t>Pozor, p</w:t>
      </w:r>
      <w:r w:rsidR="003F663E">
        <w:rPr>
          <w:rFonts w:ascii="Arial" w:hAnsi="Arial" w:cs="Arial"/>
          <w:sz w:val="22"/>
          <w:szCs w:val="22"/>
        </w:rPr>
        <w:t xml:space="preserve">ro smlouvy uzavřené zprostředkovatelem </w:t>
      </w:r>
      <w:r w:rsidR="00D03CD3">
        <w:rPr>
          <w:rFonts w:ascii="Arial" w:hAnsi="Arial" w:cs="Arial"/>
          <w:sz w:val="22"/>
          <w:szCs w:val="22"/>
        </w:rPr>
        <w:t>má spotřebitel ještě jedno výhodné právo navíc,</w:t>
      </w:r>
      <w:r w:rsidR="003F663E">
        <w:rPr>
          <w:rFonts w:ascii="Arial" w:hAnsi="Arial" w:cs="Arial"/>
          <w:sz w:val="22"/>
          <w:szCs w:val="22"/>
        </w:rPr>
        <w:t xml:space="preserve"> a to, že je </w:t>
      </w:r>
      <w:r w:rsidR="003F663E" w:rsidRPr="003F663E">
        <w:rPr>
          <w:rFonts w:ascii="Arial" w:hAnsi="Arial" w:cs="Arial"/>
          <w:sz w:val="22"/>
          <w:szCs w:val="22"/>
        </w:rPr>
        <w:t>oprávněn bez postihu vypovědět závazek ze smlouvy kdykoliv do patnáctého dne po zahájení dodávky elektřiny nebo plynu</w:t>
      </w:r>
      <w:r w:rsidR="00011D29">
        <w:rPr>
          <w:rFonts w:ascii="Arial" w:hAnsi="Arial" w:cs="Arial"/>
          <w:sz w:val="22"/>
          <w:szCs w:val="22"/>
        </w:rPr>
        <w:t>,“</w:t>
      </w:r>
      <w:r w:rsidR="003F663E">
        <w:rPr>
          <w:rFonts w:ascii="Arial" w:hAnsi="Arial" w:cs="Arial"/>
          <w:sz w:val="22"/>
          <w:szCs w:val="22"/>
        </w:rPr>
        <w:t xml:space="preserve"> pokračuje ve vysvětlování Eduarda </w:t>
      </w:r>
      <w:proofErr w:type="spellStart"/>
      <w:r w:rsidR="003F663E">
        <w:rPr>
          <w:rFonts w:ascii="Arial" w:hAnsi="Arial" w:cs="Arial"/>
          <w:sz w:val="22"/>
          <w:szCs w:val="22"/>
        </w:rPr>
        <w:t>Hekšová</w:t>
      </w:r>
      <w:proofErr w:type="spellEnd"/>
      <w:r w:rsidR="003F663E">
        <w:rPr>
          <w:rFonts w:ascii="Arial" w:hAnsi="Arial" w:cs="Arial"/>
          <w:sz w:val="22"/>
          <w:szCs w:val="22"/>
        </w:rPr>
        <w:t xml:space="preserve"> </w:t>
      </w:r>
      <w:r w:rsidR="003F663E">
        <w:rPr>
          <w:rFonts w:ascii="Arial" w:hAnsi="Arial" w:cs="Arial"/>
          <w:sz w:val="22"/>
          <w:szCs w:val="22"/>
        </w:rPr>
        <w:lastRenderedPageBreak/>
        <w:t>a</w:t>
      </w:r>
      <w:r w:rsidR="00011D29">
        <w:rPr>
          <w:rFonts w:ascii="Arial" w:hAnsi="Arial" w:cs="Arial"/>
          <w:sz w:val="22"/>
          <w:szCs w:val="22"/>
        </w:rPr>
        <w:t> </w:t>
      </w:r>
      <w:r w:rsidR="003F663E">
        <w:rPr>
          <w:rFonts w:ascii="Arial" w:hAnsi="Arial" w:cs="Arial"/>
          <w:sz w:val="22"/>
          <w:szCs w:val="22"/>
        </w:rPr>
        <w:t>uzavírá: „</w:t>
      </w:r>
      <w:r w:rsidR="00D03CD3">
        <w:rPr>
          <w:rFonts w:ascii="Arial" w:hAnsi="Arial" w:cs="Arial"/>
          <w:sz w:val="22"/>
          <w:szCs w:val="22"/>
        </w:rPr>
        <w:t xml:space="preserve">Stačí v průběhu lhůty </w:t>
      </w:r>
      <w:r w:rsidR="003F663E" w:rsidRPr="003F663E">
        <w:rPr>
          <w:rFonts w:ascii="Arial" w:hAnsi="Arial" w:cs="Arial"/>
          <w:sz w:val="22"/>
          <w:szCs w:val="22"/>
        </w:rPr>
        <w:t>odesl</w:t>
      </w:r>
      <w:r w:rsidR="00D03CD3">
        <w:rPr>
          <w:rFonts w:ascii="Arial" w:hAnsi="Arial" w:cs="Arial"/>
          <w:sz w:val="22"/>
          <w:szCs w:val="22"/>
        </w:rPr>
        <w:t>at</w:t>
      </w:r>
      <w:r w:rsidR="003F663E" w:rsidRPr="003F663E">
        <w:rPr>
          <w:rFonts w:ascii="Arial" w:hAnsi="Arial" w:cs="Arial"/>
          <w:sz w:val="22"/>
          <w:szCs w:val="22"/>
        </w:rPr>
        <w:t xml:space="preserve"> oznámení o výpovědi závazku </w:t>
      </w:r>
      <w:r w:rsidR="008D7A0C">
        <w:rPr>
          <w:rFonts w:ascii="Arial" w:hAnsi="Arial" w:cs="Arial"/>
          <w:sz w:val="22"/>
          <w:szCs w:val="22"/>
        </w:rPr>
        <w:t>dodavateli</w:t>
      </w:r>
      <w:r w:rsidR="003F663E" w:rsidRPr="003F663E">
        <w:rPr>
          <w:rFonts w:ascii="Arial" w:hAnsi="Arial" w:cs="Arial"/>
          <w:sz w:val="22"/>
          <w:szCs w:val="22"/>
        </w:rPr>
        <w:t xml:space="preserve">. Výpovědní doba činí 15 dnů a počíná běžet prvním dnem měsíce následujícího po doručení oznámení o výpovědi závazku ze smlouvy </w:t>
      </w:r>
      <w:r w:rsidR="003F663E">
        <w:rPr>
          <w:rFonts w:ascii="Arial" w:hAnsi="Arial" w:cs="Arial"/>
          <w:sz w:val="22"/>
          <w:szCs w:val="22"/>
        </w:rPr>
        <w:t>dodavateli energie</w:t>
      </w:r>
      <w:r w:rsidR="00011D29">
        <w:rPr>
          <w:rFonts w:ascii="Arial" w:hAnsi="Arial" w:cs="Arial"/>
          <w:sz w:val="22"/>
          <w:szCs w:val="22"/>
        </w:rPr>
        <w:t>.“</w:t>
      </w:r>
    </w:p>
    <w:p w:rsidR="003F663E" w:rsidRPr="003F663E" w:rsidRDefault="00D03CD3" w:rsidP="00011D29">
      <w:pPr>
        <w:spacing w:after="120" w:line="312" w:lineRule="auto"/>
        <w:ind w:righ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Samotného z</w:t>
      </w:r>
      <w:r w:rsidR="003F663E">
        <w:rPr>
          <w:rFonts w:ascii="Arial" w:hAnsi="Arial" w:cs="Arial"/>
          <w:sz w:val="22"/>
          <w:szCs w:val="22"/>
        </w:rPr>
        <w:t xml:space="preserve">ávazku </w:t>
      </w:r>
      <w:r>
        <w:rPr>
          <w:rFonts w:ascii="Arial" w:hAnsi="Arial" w:cs="Arial"/>
          <w:sz w:val="22"/>
          <w:szCs w:val="22"/>
        </w:rPr>
        <w:t xml:space="preserve">se smlouvy se </w:t>
      </w:r>
      <w:r w:rsidR="003F663E">
        <w:rPr>
          <w:rFonts w:ascii="Arial" w:hAnsi="Arial" w:cs="Arial"/>
          <w:sz w:val="22"/>
          <w:szCs w:val="22"/>
        </w:rPr>
        <w:t>zprostředkovatel</w:t>
      </w:r>
      <w:r>
        <w:rPr>
          <w:rFonts w:ascii="Arial" w:hAnsi="Arial" w:cs="Arial"/>
          <w:sz w:val="22"/>
          <w:szCs w:val="22"/>
        </w:rPr>
        <w:t xml:space="preserve">em </w:t>
      </w:r>
      <w:r w:rsidR="003F663E">
        <w:rPr>
          <w:rFonts w:ascii="Arial" w:hAnsi="Arial" w:cs="Arial"/>
          <w:sz w:val="22"/>
          <w:szCs w:val="22"/>
        </w:rPr>
        <w:t xml:space="preserve">se spotřebitel nemusí bát, </w:t>
      </w:r>
      <w:r>
        <w:rPr>
          <w:rFonts w:ascii="Arial" w:hAnsi="Arial" w:cs="Arial"/>
          <w:sz w:val="22"/>
          <w:szCs w:val="22"/>
        </w:rPr>
        <w:t xml:space="preserve">takový závazek </w:t>
      </w:r>
      <w:r w:rsidR="003F663E">
        <w:rPr>
          <w:rFonts w:ascii="Arial" w:hAnsi="Arial" w:cs="Arial"/>
          <w:sz w:val="22"/>
          <w:szCs w:val="22"/>
        </w:rPr>
        <w:t>je spotřebitel oprávněn kdykoliv vypov</w:t>
      </w:r>
      <w:r w:rsidR="00795FC2">
        <w:rPr>
          <w:rFonts w:ascii="Arial" w:hAnsi="Arial" w:cs="Arial"/>
          <w:sz w:val="22"/>
          <w:szCs w:val="22"/>
        </w:rPr>
        <w:t>ědět, a to bez výpovědní doby a </w:t>
      </w:r>
      <w:r w:rsidR="003F663E">
        <w:rPr>
          <w:rFonts w:ascii="Arial" w:hAnsi="Arial" w:cs="Arial"/>
          <w:sz w:val="22"/>
          <w:szCs w:val="22"/>
        </w:rPr>
        <w:t>bez sankce. Stejně tak může spotřebitel odvolat</w:t>
      </w:r>
      <w:r w:rsidR="003F663E" w:rsidRPr="003F663E">
        <w:rPr>
          <w:rFonts w:ascii="Arial" w:hAnsi="Arial" w:cs="Arial"/>
          <w:sz w:val="22"/>
          <w:szCs w:val="22"/>
        </w:rPr>
        <w:t xml:space="preserve"> zmocnění k uzavření </w:t>
      </w:r>
      <w:r w:rsidR="003F663E">
        <w:rPr>
          <w:rFonts w:ascii="Arial" w:hAnsi="Arial" w:cs="Arial"/>
          <w:sz w:val="22"/>
          <w:szCs w:val="22"/>
        </w:rPr>
        <w:t xml:space="preserve">nebo změně </w:t>
      </w:r>
      <w:r w:rsidR="003F663E" w:rsidRPr="003F663E">
        <w:rPr>
          <w:rFonts w:ascii="Arial" w:hAnsi="Arial" w:cs="Arial"/>
          <w:sz w:val="22"/>
          <w:szCs w:val="22"/>
        </w:rPr>
        <w:t>smlouvy o dodávce elektřiny nebo plynu nebo smlouvy o sdružených službách dodávky elektřiny nebo plynu, k</w:t>
      </w:r>
      <w:r w:rsidR="003F663E">
        <w:rPr>
          <w:rFonts w:ascii="Arial" w:hAnsi="Arial" w:cs="Arial"/>
          <w:sz w:val="22"/>
          <w:szCs w:val="22"/>
        </w:rPr>
        <w:t>teré zprostředkovateli</w:t>
      </w:r>
      <w:r>
        <w:rPr>
          <w:rFonts w:ascii="Arial" w:hAnsi="Arial" w:cs="Arial"/>
          <w:sz w:val="22"/>
          <w:szCs w:val="22"/>
        </w:rPr>
        <w:t xml:space="preserve"> v minulosti</w:t>
      </w:r>
      <w:bookmarkStart w:id="0" w:name="_GoBack"/>
      <w:bookmarkEnd w:id="0"/>
      <w:r w:rsidR="003F663E">
        <w:rPr>
          <w:rFonts w:ascii="Arial" w:hAnsi="Arial" w:cs="Arial"/>
          <w:sz w:val="22"/>
          <w:szCs w:val="22"/>
        </w:rPr>
        <w:t xml:space="preserve"> udělil.</w:t>
      </w:r>
    </w:p>
    <w:p w:rsidR="008D7A0C" w:rsidRPr="008D7A0C" w:rsidRDefault="008D7A0C" w:rsidP="00011D29">
      <w:pPr>
        <w:spacing w:after="120" w:line="312" w:lineRule="auto"/>
        <w:ind w:right="57"/>
        <w:jc w:val="both"/>
        <w:rPr>
          <w:rFonts w:ascii="Arial" w:hAnsi="Arial" w:cs="Arial"/>
          <w:sz w:val="22"/>
          <w:szCs w:val="22"/>
        </w:rPr>
      </w:pPr>
      <w:r w:rsidRPr="008D7A0C">
        <w:rPr>
          <w:rFonts w:ascii="Arial" w:hAnsi="Arial" w:cs="Arial"/>
          <w:sz w:val="22"/>
          <w:szCs w:val="22"/>
        </w:rPr>
        <w:t xml:space="preserve">Spotřebitelé, kteří zvažují i další postupy v oblasti dodávky plynu a energií se mohou inspirovat v brožuře </w:t>
      </w:r>
      <w:hyperlink r:id="rId7" w:history="1">
        <w:r w:rsidRPr="00AD66FB">
          <w:rPr>
            <w:rStyle w:val="Hypertextovodkaz"/>
            <w:rFonts w:ascii="Arial" w:hAnsi="Arial" w:cs="Arial"/>
            <w:sz w:val="22"/>
            <w:szCs w:val="22"/>
          </w:rPr>
          <w:t>Jak na zdražující energie</w:t>
        </w:r>
      </w:hyperlink>
      <w:r w:rsidRPr="008D7A0C">
        <w:rPr>
          <w:rFonts w:ascii="Arial" w:hAnsi="Arial" w:cs="Arial"/>
          <w:sz w:val="22"/>
          <w:szCs w:val="22"/>
        </w:rPr>
        <w:t xml:space="preserve">. V případě problému se mohou obrátit na </w:t>
      </w:r>
      <w:r w:rsidR="00AD66FB" w:rsidRPr="00AD66FB">
        <w:rPr>
          <w:rFonts w:ascii="Arial" w:hAnsi="Arial" w:cs="Arial"/>
          <w:sz w:val="22"/>
          <w:szCs w:val="22"/>
        </w:rPr>
        <w:t xml:space="preserve">bezplatnou spotřebitelskou poradnu </w:t>
      </w:r>
      <w:proofErr w:type="spellStart"/>
      <w:r w:rsidR="00AD66FB" w:rsidRPr="00AD66FB">
        <w:rPr>
          <w:rFonts w:ascii="Arial" w:hAnsi="Arial" w:cs="Arial"/>
          <w:sz w:val="22"/>
          <w:szCs w:val="22"/>
        </w:rPr>
        <w:t>dTestu</w:t>
      </w:r>
      <w:proofErr w:type="spellEnd"/>
      <w:r w:rsidR="00AD66FB" w:rsidRPr="00AD66FB">
        <w:rPr>
          <w:rFonts w:ascii="Arial" w:hAnsi="Arial" w:cs="Arial"/>
          <w:sz w:val="22"/>
          <w:szCs w:val="22"/>
        </w:rPr>
        <w:t xml:space="preserve">, a to elektronicky na </w:t>
      </w:r>
      <w:hyperlink r:id="rId8" w:history="1">
        <w:r w:rsidR="00AD66FB" w:rsidRPr="000A410C">
          <w:rPr>
            <w:rStyle w:val="Hypertextovodkaz"/>
            <w:rFonts w:ascii="Arial" w:hAnsi="Arial" w:cs="Arial"/>
            <w:sz w:val="22"/>
            <w:szCs w:val="22"/>
          </w:rPr>
          <w:t>www.dtest.cz/spotrebitelska-poradna</w:t>
        </w:r>
      </w:hyperlink>
      <w:r w:rsidR="00AD66FB">
        <w:rPr>
          <w:rFonts w:ascii="Arial" w:hAnsi="Arial" w:cs="Arial"/>
          <w:sz w:val="22"/>
          <w:szCs w:val="22"/>
        </w:rPr>
        <w:t xml:space="preserve"> </w:t>
      </w:r>
      <w:r w:rsidR="00AD66FB" w:rsidRPr="00AD66FB">
        <w:rPr>
          <w:rFonts w:ascii="Arial" w:hAnsi="Arial" w:cs="Arial"/>
          <w:sz w:val="22"/>
          <w:szCs w:val="22"/>
        </w:rPr>
        <w:t>nebo telefonicky na číslo 299 149 009.</w:t>
      </w:r>
    </w:p>
    <w:p w:rsidR="008D7A0C" w:rsidRDefault="008D7A0C" w:rsidP="00011D29">
      <w:pPr>
        <w:suppressAutoHyphens w:val="0"/>
        <w:ind w:right="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C5BE8" w:rsidRDefault="00EB0C28">
      <w:pPr>
        <w:suppressAutoHyphens w:val="0"/>
        <w:ind w:right="57"/>
      </w:pPr>
      <w:r>
        <w:rPr>
          <w:rFonts w:ascii="Arial" w:hAnsi="Arial" w:cs="Arial"/>
          <w:color w:val="000000" w:themeColor="text1"/>
          <w:sz w:val="22"/>
          <w:szCs w:val="22"/>
        </w:rPr>
        <w:t>Kontakt pro média:</w:t>
      </w:r>
    </w:p>
    <w:p w:rsidR="005C5BE8" w:rsidRDefault="00EB0C28">
      <w:pPr>
        <w:spacing w:before="120" w:after="120" w:line="26" w:lineRule="atLeast"/>
        <w:ind w:right="57"/>
      </w:pP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Lucie </w:t>
      </w:r>
      <w:proofErr w:type="spellStart"/>
      <w:r>
        <w:rPr>
          <w:rFonts w:ascii="Arial" w:eastAsia="Calibri" w:hAnsi="Arial" w:cs="Arial"/>
          <w:color w:val="000000" w:themeColor="text1"/>
          <w:sz w:val="22"/>
          <w:szCs w:val="22"/>
        </w:rPr>
        <w:t>Korbeliusová</w:t>
      </w:r>
      <w:proofErr w:type="spellEnd"/>
      <w:r>
        <w:rPr>
          <w:rFonts w:ascii="Arial" w:eastAsia="Calibri" w:hAnsi="Arial" w:cs="Arial"/>
          <w:color w:val="000000" w:themeColor="text1"/>
          <w:sz w:val="22"/>
          <w:szCs w:val="22"/>
        </w:rPr>
        <w:t>, media@dtest.cz, tel.: +420 604 556 874</w:t>
      </w:r>
    </w:p>
    <w:p w:rsidR="005C5BE8" w:rsidRDefault="005C5BE8">
      <w:pPr>
        <w:spacing w:before="120"/>
        <w:ind w:right="57"/>
        <w:rPr>
          <w:rFonts w:ascii="Arial" w:hAnsi="Arial" w:cs="Arial"/>
          <w:color w:val="000000" w:themeColor="text1"/>
          <w:sz w:val="22"/>
          <w:szCs w:val="22"/>
        </w:rPr>
      </w:pPr>
    </w:p>
    <w:p w:rsidR="005C5BE8" w:rsidRDefault="00EB0C28">
      <w:pPr>
        <w:spacing w:before="120" w:line="300" w:lineRule="auto"/>
        <w:ind w:right="57"/>
      </w:pPr>
      <w:r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dTest, o.p.s. je největší českou spotřebitelskou organizací, která v ČR působí již od roku 1992. Je vydavatelem spotřebitelského časopisu dTest, na jehož stránkách jsou publikovány výsledky nezávislých a objektivních testů produktů, varování před nebezpečnými a zdravotně závadnými výrobky, informace o spotřebitelských právech a rady, jak tato práva účinně uplatňovat. dTest je součástí mezinárodní organizace </w:t>
      </w:r>
      <w:proofErr w:type="spellStart"/>
      <w:r>
        <w:rPr>
          <w:rFonts w:ascii="Arial" w:eastAsia="Times New Roman" w:hAnsi="Arial" w:cs="Arial"/>
          <w:color w:val="000000" w:themeColor="text1"/>
          <w:sz w:val="16"/>
          <w:szCs w:val="16"/>
        </w:rPr>
        <w:t>International</w:t>
      </w:r>
      <w:proofErr w:type="spellEnd"/>
      <w:r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16"/>
          <w:szCs w:val="16"/>
        </w:rPr>
        <w:t>Consumer</w:t>
      </w:r>
      <w:proofErr w:type="spellEnd"/>
      <w:r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16"/>
          <w:szCs w:val="16"/>
        </w:rPr>
        <w:t>Research</w:t>
      </w:r>
      <w:proofErr w:type="spellEnd"/>
      <w:r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16"/>
          <w:szCs w:val="16"/>
        </w:rPr>
        <w:t>and</w:t>
      </w:r>
      <w:proofErr w:type="spellEnd"/>
      <w:r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16"/>
          <w:szCs w:val="16"/>
        </w:rPr>
        <w:t>Testing</w:t>
      </w:r>
      <w:proofErr w:type="spellEnd"/>
      <w:r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(ICRT) a evropské spotřebitelské organizace BEUC.</w:t>
      </w:r>
    </w:p>
    <w:p w:rsidR="005C5BE8" w:rsidRDefault="00EB0C28">
      <w:pPr>
        <w:spacing w:before="120" w:line="300" w:lineRule="auto"/>
        <w:ind w:right="57"/>
      </w:pPr>
      <w:r>
        <w:rPr>
          <w:rFonts w:ascii="Arial" w:hAnsi="Arial" w:cs="Arial"/>
          <w:color w:val="000000" w:themeColor="text1"/>
          <w:sz w:val="16"/>
          <w:szCs w:val="16"/>
        </w:rPr>
        <w:t>Poradenská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linka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časopisu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dTest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– </w:t>
      </w:r>
      <w:r>
        <w:rPr>
          <w:rFonts w:ascii="Arial" w:hAnsi="Arial" w:cs="Arial"/>
          <w:color w:val="000000" w:themeColor="text1"/>
          <w:sz w:val="16"/>
          <w:szCs w:val="16"/>
        </w:rPr>
        <w:t>299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149 009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– </w:t>
      </w:r>
      <w:r>
        <w:rPr>
          <w:rFonts w:ascii="Arial" w:hAnsi="Arial" w:cs="Arial"/>
          <w:color w:val="000000" w:themeColor="text1"/>
          <w:sz w:val="16"/>
          <w:szCs w:val="16"/>
        </w:rPr>
        <w:t>je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v provozu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každý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pracovní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den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od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9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do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17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hodin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spotřebitelé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na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ní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mohou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konzultovat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 právními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poradci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časopisu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dTest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nejrůznější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spotřebitelské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problémy,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to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za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cenu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běžného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tarifu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volání.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Od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spuštění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v roce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2010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této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možnosti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využily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již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statisíce </w:t>
      </w:r>
      <w:r>
        <w:rPr>
          <w:rFonts w:ascii="Arial" w:hAnsi="Arial" w:cs="Arial"/>
          <w:color w:val="000000" w:themeColor="text1"/>
          <w:sz w:val="16"/>
          <w:szCs w:val="16"/>
        </w:rPr>
        <w:t>spotřebitelů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poradenská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linka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časopisu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dTest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se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tak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stala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první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nejvyhledávanější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cestou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k řešení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potíží,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se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kterými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se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zákazníci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na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trhu</w:t>
      </w:r>
      <w:r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setkávají.</w:t>
      </w:r>
    </w:p>
    <w:sectPr w:rsidR="005C5BE8" w:rsidSect="00DA397F">
      <w:headerReference w:type="default" r:id="rId9"/>
      <w:headerReference w:type="first" r:id="rId10"/>
      <w:footerReference w:type="first" r:id="rId11"/>
      <w:pgSz w:w="11906" w:h="16838"/>
      <w:pgMar w:top="652" w:right="652" w:bottom="652" w:left="2608" w:header="510" w:footer="578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C0" w:rsidRDefault="002332C0">
      <w:r>
        <w:separator/>
      </w:r>
    </w:p>
  </w:endnote>
  <w:endnote w:type="continuationSeparator" w:id="0">
    <w:p w:rsidR="002332C0" w:rsidRDefault="0023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E8" w:rsidRDefault="00EB0C28">
    <w:pPr>
      <w:pStyle w:val="Zpat"/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040" cy="2149475"/>
          <wp:effectExtent l="0" t="0" r="0" b="0"/>
          <wp:wrapNone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14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411480</wp:posOffset>
          </wp:positionH>
          <wp:positionV relativeFrom="margin">
            <wp:posOffset>7701280</wp:posOffset>
          </wp:positionV>
          <wp:extent cx="938530" cy="1991995"/>
          <wp:effectExtent l="0" t="0" r="0" b="0"/>
          <wp:wrapNone/>
          <wp:docPr id="3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99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397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Přímá spojnice se šipkou 1" o:spid="_x0000_s4097" type="#_x0000_t32" style="position:absolute;margin-left:32.6pt;margin-top:283.5pt;width:14.15pt;height:.05pt;z-index:-251657216;visibility:visible;mso-wrap-distance-left:.3pt;mso-wrap-distance-top:.3pt;mso-wrap-distance-right:.25pt;mso-wrap-distance-bottom:.2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" o:allowincell="f" strokeweight=".5pt"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C0" w:rsidRDefault="002332C0">
      <w:r>
        <w:separator/>
      </w:r>
    </w:p>
  </w:footnote>
  <w:footnote w:type="continuationSeparator" w:id="0">
    <w:p w:rsidR="002332C0" w:rsidRDefault="00233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E8" w:rsidRDefault="00EB0C28">
    <w:pPr>
      <w:pStyle w:val="Zhlav"/>
      <w:rPr>
        <w:sz w:val="10"/>
      </w:rPr>
    </w:pPr>
    <w:r>
      <w:rPr>
        <w:noProof/>
        <w:sz w:val="10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414020</wp:posOffset>
          </wp:positionH>
          <wp:positionV relativeFrom="page">
            <wp:posOffset>414020</wp:posOffset>
          </wp:positionV>
          <wp:extent cx="828675" cy="209550"/>
          <wp:effectExtent l="0" t="0" r="0" b="0"/>
          <wp:wrapNone/>
          <wp:docPr id="1" name="Obrázek 1" descr="www_23 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ww_23 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E8" w:rsidRDefault="00EB0C28">
    <w:pPr>
      <w:pStyle w:val="Zhlav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>Tisková zpráva ze dne 2</w:t>
    </w:r>
    <w:r w:rsidR="0076211C">
      <w:rPr>
        <w:rFonts w:ascii="Calibri" w:hAnsi="Calibri"/>
        <w:sz w:val="36"/>
        <w:szCs w:val="36"/>
      </w:rPr>
      <w:t>8</w:t>
    </w:r>
    <w:r>
      <w:rPr>
        <w:rFonts w:ascii="Calibri" w:hAnsi="Calibri"/>
        <w:sz w:val="36"/>
        <w:szCs w:val="36"/>
      </w:rPr>
      <w:t>. února 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Přímá spojnice se šipkou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5BE8"/>
    <w:rsid w:val="00011D29"/>
    <w:rsid w:val="00126680"/>
    <w:rsid w:val="001C5B34"/>
    <w:rsid w:val="002332C0"/>
    <w:rsid w:val="003C6006"/>
    <w:rsid w:val="003F663E"/>
    <w:rsid w:val="004A4B11"/>
    <w:rsid w:val="004F44F5"/>
    <w:rsid w:val="005518A8"/>
    <w:rsid w:val="005C5BE8"/>
    <w:rsid w:val="007253B5"/>
    <w:rsid w:val="0076211C"/>
    <w:rsid w:val="00795FC2"/>
    <w:rsid w:val="008D7A0C"/>
    <w:rsid w:val="009F163A"/>
    <w:rsid w:val="00A47C25"/>
    <w:rsid w:val="00A73E4D"/>
    <w:rsid w:val="00AA41AD"/>
    <w:rsid w:val="00AA532C"/>
    <w:rsid w:val="00AD66FB"/>
    <w:rsid w:val="00C501FA"/>
    <w:rsid w:val="00CF0DFB"/>
    <w:rsid w:val="00D03CD3"/>
    <w:rsid w:val="00D81478"/>
    <w:rsid w:val="00DA397F"/>
    <w:rsid w:val="00E10EEA"/>
    <w:rsid w:val="00E2463F"/>
    <w:rsid w:val="00E7697B"/>
    <w:rsid w:val="00EB0C28"/>
    <w:rsid w:val="00F40971"/>
    <w:rsid w:val="00F505E0"/>
    <w:rsid w:val="00FD0148"/>
    <w:rsid w:val="00FD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97F"/>
    <w:rPr>
      <w:rFonts w:ascii="Times" w:eastAsia="Times" w:hAnsi="Times"/>
      <w:color w:val="00000A"/>
      <w:kern w:val="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  <w:rsid w:val="00DA397F"/>
  </w:style>
  <w:style w:type="character" w:customStyle="1" w:styleId="ZhlavChar">
    <w:name w:val="Záhlaví Char"/>
    <w:qFormat/>
    <w:rsid w:val="00DA397F"/>
    <w:rPr>
      <w:sz w:val="24"/>
    </w:rPr>
  </w:style>
  <w:style w:type="character" w:customStyle="1" w:styleId="ZpatChar">
    <w:name w:val="Zápatí Char"/>
    <w:qFormat/>
    <w:rsid w:val="00DA397F"/>
    <w:rPr>
      <w:sz w:val="24"/>
    </w:rPr>
  </w:style>
  <w:style w:type="character" w:customStyle="1" w:styleId="TextbublinyChar">
    <w:name w:val="Text bubliny Char"/>
    <w:qFormat/>
    <w:rsid w:val="00DA397F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unhideWhenUsed/>
    <w:rsid w:val="00043F99"/>
    <w:rPr>
      <w:color w:val="0000FF"/>
      <w:u w:val="single"/>
    </w:rPr>
  </w:style>
  <w:style w:type="character" w:customStyle="1" w:styleId="TextkomenteChar">
    <w:name w:val="Text komentáře Char"/>
    <w:link w:val="Textkomente"/>
    <w:uiPriority w:val="99"/>
    <w:qFormat/>
    <w:rsid w:val="00043F99"/>
    <w:rPr>
      <w:lang w:val="cs-CZ" w:eastAsia="zh-CN"/>
    </w:rPr>
  </w:style>
  <w:style w:type="character" w:styleId="Odkaznakoment">
    <w:name w:val="annotation reference"/>
    <w:uiPriority w:val="99"/>
    <w:semiHidden/>
    <w:unhideWhenUsed/>
    <w:qFormat/>
    <w:rsid w:val="00043F99"/>
    <w:rPr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qFormat/>
    <w:rsid w:val="00043F99"/>
    <w:rPr>
      <w:rFonts w:ascii="Tahoma" w:eastAsia="Times" w:hAnsi="Tahoma" w:cs="Tahoma"/>
      <w:color w:val="00000A"/>
      <w:kern w:val="2"/>
      <w:sz w:val="16"/>
      <w:szCs w:val="16"/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C11DB5"/>
    <w:rPr>
      <w:rFonts w:ascii="Times" w:eastAsia="Times" w:hAnsi="Times"/>
      <w:b/>
      <w:bCs/>
      <w:color w:val="00000A"/>
      <w:kern w:val="2"/>
      <w:lang w:val="cs-CZ" w:eastAsia="cs-CZ"/>
    </w:rPr>
  </w:style>
  <w:style w:type="character" w:customStyle="1" w:styleId="Navtveninternetovodkaz">
    <w:name w:val="Navštívený internetový odkaz"/>
    <w:uiPriority w:val="99"/>
    <w:semiHidden/>
    <w:unhideWhenUsed/>
    <w:rsid w:val="00786A1E"/>
    <w:rPr>
      <w:color w:val="954F72"/>
      <w:u w:val="single"/>
    </w:rPr>
  </w:style>
  <w:style w:type="character" w:customStyle="1" w:styleId="uficommentbody">
    <w:name w:val="uficommentbody"/>
    <w:qFormat/>
    <w:rsid w:val="00C30139"/>
  </w:style>
  <w:style w:type="character" w:customStyle="1" w:styleId="FormtovanvHTMLChar">
    <w:name w:val="Formátovaný v HTML Char"/>
    <w:link w:val="FormtovanvHTML"/>
    <w:uiPriority w:val="99"/>
    <w:qFormat/>
    <w:rsid w:val="00F94B52"/>
    <w:rPr>
      <w:rFonts w:ascii="Courier New" w:hAnsi="Courier New" w:cs="Courier New"/>
    </w:rPr>
  </w:style>
  <w:style w:type="character" w:customStyle="1" w:styleId="null">
    <w:name w:val="null"/>
    <w:qFormat/>
    <w:rsid w:val="00591168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AD5A5D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8D3860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DA397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rsid w:val="00DA397F"/>
    <w:pPr>
      <w:spacing w:after="120"/>
    </w:pPr>
  </w:style>
  <w:style w:type="paragraph" w:styleId="Seznam">
    <w:name w:val="List"/>
    <w:basedOn w:val="Zkladntext"/>
    <w:rsid w:val="00DA397F"/>
  </w:style>
  <w:style w:type="paragraph" w:styleId="Titulek">
    <w:name w:val="caption"/>
    <w:basedOn w:val="Normln"/>
    <w:qFormat/>
    <w:rsid w:val="00DA397F"/>
    <w:pPr>
      <w:suppressLineNumbers/>
      <w:spacing w:before="120" w:after="120"/>
    </w:pPr>
    <w:rPr>
      <w:i/>
      <w:iCs/>
      <w:szCs w:val="24"/>
    </w:rPr>
  </w:style>
  <w:style w:type="paragraph" w:customStyle="1" w:styleId="Rejstk">
    <w:name w:val="Rejstřík"/>
    <w:basedOn w:val="Normln"/>
    <w:qFormat/>
    <w:rsid w:val="00DA397F"/>
    <w:pPr>
      <w:suppressLineNumbers/>
    </w:pPr>
  </w:style>
  <w:style w:type="paragraph" w:customStyle="1" w:styleId="Zhlavazpat">
    <w:name w:val="Záhlaví a zápatí"/>
    <w:basedOn w:val="Normln"/>
    <w:qFormat/>
    <w:rsid w:val="00DA397F"/>
  </w:style>
  <w:style w:type="paragraph" w:styleId="Zhlav">
    <w:name w:val="header"/>
    <w:basedOn w:val="Normln"/>
    <w:rsid w:val="00DA39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397F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qFormat/>
    <w:rsid w:val="00DA397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043F99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kern w:val="0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43F99"/>
    <w:rPr>
      <w:rFonts w:ascii="Times New Roman" w:eastAsia="Times New Roman" w:hAnsi="Times New Roman"/>
      <w:color w:val="auto"/>
      <w:kern w:val="0"/>
      <w:sz w:val="20"/>
      <w:lang w:eastAsia="zh-CN"/>
    </w:rPr>
  </w:style>
  <w:style w:type="paragraph" w:styleId="Textbubliny">
    <w:name w:val="Balloon Text"/>
    <w:basedOn w:val="Normln"/>
    <w:link w:val="TextbublinyChar1"/>
    <w:uiPriority w:val="99"/>
    <w:semiHidden/>
    <w:unhideWhenUsed/>
    <w:qFormat/>
    <w:rsid w:val="00043F99"/>
    <w:rPr>
      <w:rFonts w:ascii="Tahoma" w:hAnsi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11DB5"/>
    <w:rPr>
      <w:rFonts w:ascii="Times" w:eastAsia="Times" w:hAnsi="Times"/>
      <w:b/>
      <w:bCs/>
      <w:color w:val="00000A"/>
      <w:kern w:val="2"/>
      <w:lang w:eastAsia="cs-CZ"/>
    </w:rPr>
  </w:style>
  <w:style w:type="paragraph" w:styleId="Odstavecseseznamem">
    <w:name w:val="List Paragraph"/>
    <w:basedOn w:val="Normln"/>
    <w:uiPriority w:val="34"/>
    <w:qFormat/>
    <w:rsid w:val="003D5E27"/>
    <w:pPr>
      <w:suppressAutoHyphens w:val="0"/>
      <w:ind w:left="720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qFormat/>
    <w:rsid w:val="00F94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</w:rPr>
  </w:style>
  <w:style w:type="paragraph" w:styleId="Revize">
    <w:name w:val="Revision"/>
    <w:uiPriority w:val="99"/>
    <w:semiHidden/>
    <w:qFormat/>
    <w:rsid w:val="008F0372"/>
    <w:rPr>
      <w:rFonts w:ascii="Times" w:eastAsia="Times" w:hAnsi="Times"/>
      <w:color w:val="00000A"/>
      <w:kern w:val="2"/>
      <w:sz w:val="24"/>
    </w:rPr>
  </w:style>
  <w:style w:type="character" w:styleId="Hypertextovodkaz">
    <w:name w:val="Hyperlink"/>
    <w:basedOn w:val="Standardnpsmoodstavce"/>
    <w:uiPriority w:val="99"/>
    <w:unhideWhenUsed/>
    <w:rsid w:val="00AD66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est.cz/spotrebitelska-porad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test.cz/publikace-23/jak-vyzrat-na-zdrazujici-energ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90CE-926D-4A07-8D7A-391BE772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Company>dTest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Petr Šmelhaus</dc:creator>
  <cp:lastModifiedBy>Lucie</cp:lastModifiedBy>
  <cp:revision>2</cp:revision>
  <cp:lastPrinted>2017-11-28T12:18:00Z</cp:lastPrinted>
  <dcterms:created xsi:type="dcterms:W3CDTF">2023-02-28T08:08:00Z</dcterms:created>
  <dcterms:modified xsi:type="dcterms:W3CDTF">2023-02-28T08:08:00Z</dcterms:modified>
  <dc:language>cs-CZ</dc:language>
</cp:coreProperties>
</file>